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82BFBFF" w14:textId="6C5A2DEE" w:rsidR="00F05DBF" w:rsidRPr="0064182F" w:rsidRDefault="008B0169" w:rsidP="00DD01DF">
      <w:pPr>
        <w:pStyle w:val="p1"/>
        <w:ind w:right="-7"/>
        <w:rPr>
          <w:sz w:val="24"/>
          <w:szCs w:val="24"/>
        </w:rPr>
      </w:pPr>
      <w:r w:rsidRPr="0064182F">
        <w:rPr>
          <w:sz w:val="24"/>
          <w:szCs w:val="24"/>
        </w:rPr>
        <w:t>Municipios perdieron 3</w:t>
      </w:r>
      <w:r w:rsidR="00855E2F">
        <w:rPr>
          <w:sz w:val="24"/>
          <w:szCs w:val="24"/>
        </w:rPr>
        <w:t>7</w:t>
      </w:r>
      <w:r w:rsidRPr="0064182F">
        <w:rPr>
          <w:sz w:val="24"/>
          <w:szCs w:val="24"/>
        </w:rPr>
        <w:t xml:space="preserve">% </w:t>
      </w:r>
      <w:r w:rsidR="00DD01DF" w:rsidRPr="0064182F">
        <w:rPr>
          <w:sz w:val="24"/>
          <w:szCs w:val="24"/>
        </w:rPr>
        <w:t>y gobernaciones 5</w:t>
      </w:r>
      <w:r w:rsidR="00855E2F">
        <w:rPr>
          <w:sz w:val="24"/>
          <w:szCs w:val="24"/>
        </w:rPr>
        <w:t>4</w:t>
      </w:r>
      <w:r w:rsidR="00DD01DF" w:rsidRPr="0064182F">
        <w:rPr>
          <w:sz w:val="24"/>
          <w:szCs w:val="24"/>
        </w:rPr>
        <w:t xml:space="preserve">% por transferencias de impuestos y regalías </w:t>
      </w:r>
      <w:r w:rsidR="00C16800" w:rsidRPr="0064182F">
        <w:rPr>
          <w:sz w:val="24"/>
          <w:szCs w:val="24"/>
        </w:rPr>
        <w:t>desde que empezó desaceleración de la economía</w:t>
      </w:r>
    </w:p>
    <w:p w14:paraId="6A6F1643" w14:textId="77777777" w:rsidR="00E3093C" w:rsidRDefault="00F05DBF" w:rsidP="00C16800">
      <w:r w:rsidRPr="00F05DBF">
        <w:drawing>
          <wp:inline distT="0" distB="0" distL="0" distR="0" wp14:anchorId="78A020DD" wp14:editId="043E0115">
            <wp:extent cx="5486597" cy="50336"/>
            <wp:effectExtent l="0" t="0" r="0" b="63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2772019" cy="117175"/>
                    </a:xfrm>
                    <a:prstGeom prst="rect">
                      <a:avLst/>
                    </a:prstGeom>
                  </pic:spPr>
                </pic:pic>
              </a:graphicData>
            </a:graphic>
          </wp:inline>
        </w:drawing>
      </w:r>
    </w:p>
    <w:p w14:paraId="4357D9DE" w14:textId="77777777" w:rsidR="00990701" w:rsidRPr="00DD01DF" w:rsidRDefault="00990701" w:rsidP="00C16800">
      <w:pPr>
        <w:rPr>
          <w:color w:val="385623" w:themeColor="accent6" w:themeShade="80"/>
        </w:rPr>
      </w:pPr>
    </w:p>
    <w:p w14:paraId="1C4DDFB5" w14:textId="184BCDF3" w:rsidR="00990701" w:rsidRPr="00DD01DF" w:rsidRDefault="00990701" w:rsidP="00DD01DF">
      <w:pPr>
        <w:pStyle w:val="Prrafodelista"/>
        <w:numPr>
          <w:ilvl w:val="0"/>
          <w:numId w:val="1"/>
        </w:numPr>
        <w:ind w:left="709" w:right="560" w:hanging="283"/>
        <w:rPr>
          <w:rFonts w:ascii="Helvetica" w:hAnsi="Helvetica"/>
          <w:color w:val="385623" w:themeColor="accent6" w:themeShade="80"/>
          <w:sz w:val="20"/>
          <w:szCs w:val="20"/>
        </w:rPr>
      </w:pPr>
      <w:r w:rsidRPr="00DD01DF">
        <w:rPr>
          <w:rFonts w:ascii="Helvetica" w:hAnsi="Helvetica"/>
          <w:color w:val="385623" w:themeColor="accent6" w:themeShade="80"/>
          <w:sz w:val="20"/>
          <w:szCs w:val="20"/>
        </w:rPr>
        <w:t>Los municipios recibieron Bs 15.428</w:t>
      </w:r>
      <w:r w:rsidR="00DD01DF" w:rsidRPr="00DD01DF">
        <w:rPr>
          <w:rFonts w:ascii="Helvetica" w:hAnsi="Helvetica"/>
          <w:color w:val="385623" w:themeColor="accent6" w:themeShade="80"/>
          <w:sz w:val="20"/>
          <w:szCs w:val="20"/>
        </w:rPr>
        <w:t xml:space="preserve"> millones en 2014 y cayeron a </w:t>
      </w:r>
      <w:r w:rsidRPr="00DD01DF">
        <w:rPr>
          <w:rFonts w:ascii="Helvetica" w:hAnsi="Helvetica"/>
          <w:color w:val="385623" w:themeColor="accent6" w:themeShade="80"/>
          <w:sz w:val="20"/>
          <w:szCs w:val="20"/>
        </w:rPr>
        <w:t xml:space="preserve">Bs </w:t>
      </w:r>
      <w:r w:rsidR="00C5434B">
        <w:rPr>
          <w:rFonts w:ascii="Helvetica" w:hAnsi="Helvetica"/>
          <w:color w:val="385623" w:themeColor="accent6" w:themeShade="80"/>
          <w:sz w:val="20"/>
          <w:szCs w:val="20"/>
        </w:rPr>
        <w:t>9.730</w:t>
      </w:r>
      <w:r w:rsidRPr="00DD01DF">
        <w:rPr>
          <w:rFonts w:ascii="Helvetica" w:hAnsi="Helvetica"/>
          <w:color w:val="385623" w:themeColor="accent6" w:themeShade="80"/>
          <w:sz w:val="20"/>
          <w:szCs w:val="20"/>
        </w:rPr>
        <w:t xml:space="preserve"> millones hasta 20</w:t>
      </w:r>
      <w:r w:rsidR="00C5434B">
        <w:rPr>
          <w:rFonts w:ascii="Helvetica" w:hAnsi="Helvetica"/>
          <w:color w:val="385623" w:themeColor="accent6" w:themeShade="80"/>
          <w:sz w:val="20"/>
          <w:szCs w:val="20"/>
        </w:rPr>
        <w:t>20</w:t>
      </w:r>
      <w:r w:rsidR="00B35258">
        <w:rPr>
          <w:rFonts w:ascii="Helvetica" w:hAnsi="Helvetica"/>
          <w:color w:val="385623" w:themeColor="accent6" w:themeShade="80"/>
          <w:sz w:val="20"/>
          <w:szCs w:val="20"/>
        </w:rPr>
        <w:t>.</w:t>
      </w:r>
    </w:p>
    <w:p w14:paraId="6F40EF95" w14:textId="13752928" w:rsidR="00990701" w:rsidRPr="00DD01DF" w:rsidRDefault="00990701" w:rsidP="00DD01DF">
      <w:pPr>
        <w:pStyle w:val="Prrafodelista"/>
        <w:numPr>
          <w:ilvl w:val="0"/>
          <w:numId w:val="1"/>
        </w:numPr>
        <w:ind w:left="709" w:right="560" w:hanging="283"/>
        <w:rPr>
          <w:rFonts w:ascii="Helvetica" w:hAnsi="Helvetica"/>
          <w:color w:val="385623" w:themeColor="accent6" w:themeShade="80"/>
          <w:sz w:val="20"/>
          <w:szCs w:val="20"/>
        </w:rPr>
      </w:pPr>
      <w:r w:rsidRPr="00DD01DF">
        <w:rPr>
          <w:rFonts w:ascii="Helvetica" w:hAnsi="Helvetica"/>
          <w:color w:val="385623" w:themeColor="accent6" w:themeShade="80"/>
          <w:sz w:val="20"/>
          <w:szCs w:val="20"/>
        </w:rPr>
        <w:t xml:space="preserve">Las gobernaciones tuvieron una caída de Bs 9.821 millones a </w:t>
      </w:r>
      <w:r w:rsidR="00DD01DF" w:rsidRPr="00DD01DF">
        <w:rPr>
          <w:rFonts w:ascii="Helvetica" w:hAnsi="Helvetica"/>
          <w:color w:val="385623" w:themeColor="accent6" w:themeShade="80"/>
          <w:sz w:val="20"/>
          <w:szCs w:val="20"/>
        </w:rPr>
        <w:t xml:space="preserve">Bs </w:t>
      </w:r>
      <w:r w:rsidR="00C5434B">
        <w:rPr>
          <w:rFonts w:ascii="Helvetica" w:hAnsi="Helvetica"/>
          <w:color w:val="385623" w:themeColor="accent6" w:themeShade="80"/>
          <w:sz w:val="20"/>
          <w:szCs w:val="20"/>
        </w:rPr>
        <w:t>4.530</w:t>
      </w:r>
      <w:r w:rsidRPr="00DD01DF">
        <w:rPr>
          <w:rFonts w:ascii="Helvetica" w:hAnsi="Helvetica"/>
          <w:color w:val="385623" w:themeColor="accent6" w:themeShade="80"/>
          <w:sz w:val="20"/>
          <w:szCs w:val="20"/>
        </w:rPr>
        <w:t xml:space="preserve"> millones, en ese mismo periodo</w:t>
      </w:r>
      <w:r w:rsidR="00B35258">
        <w:rPr>
          <w:rFonts w:ascii="Helvetica" w:hAnsi="Helvetica"/>
          <w:color w:val="385623" w:themeColor="accent6" w:themeShade="80"/>
          <w:sz w:val="20"/>
          <w:szCs w:val="20"/>
        </w:rPr>
        <w:t>.</w:t>
      </w:r>
    </w:p>
    <w:p w14:paraId="3EE7A9E4" w14:textId="1B6DE1E8" w:rsidR="00DD01DF" w:rsidRPr="00DD01DF" w:rsidRDefault="00DD01DF" w:rsidP="00DD01DF">
      <w:pPr>
        <w:pStyle w:val="Prrafodelista"/>
        <w:numPr>
          <w:ilvl w:val="0"/>
          <w:numId w:val="1"/>
        </w:numPr>
        <w:spacing w:after="120" w:line="240" w:lineRule="atLeast"/>
        <w:ind w:left="709" w:right="560" w:hanging="283"/>
        <w:jc w:val="both"/>
        <w:rPr>
          <w:rFonts w:ascii="Helvetica" w:hAnsi="Helvetica" w:cs="Times New Roman"/>
          <w:color w:val="385623" w:themeColor="accent6" w:themeShade="80"/>
          <w:sz w:val="20"/>
          <w:szCs w:val="20"/>
          <w:lang w:eastAsia="es-ES_tradnl"/>
        </w:rPr>
      </w:pPr>
      <w:r w:rsidRPr="00DD01DF">
        <w:rPr>
          <w:rFonts w:ascii="Helvetica" w:hAnsi="Helvetica" w:cs="Times New Roman"/>
          <w:color w:val="385623" w:themeColor="accent6" w:themeShade="80"/>
          <w:sz w:val="20"/>
          <w:szCs w:val="20"/>
          <w:lang w:eastAsia="es-ES_tradnl"/>
        </w:rPr>
        <w:t xml:space="preserve">Con </w:t>
      </w:r>
      <w:r w:rsidR="00EC4EFE">
        <w:rPr>
          <w:rFonts w:ascii="Helvetica" w:hAnsi="Helvetica" w:cs="Times New Roman"/>
          <w:color w:val="385623" w:themeColor="accent6" w:themeShade="80"/>
          <w:sz w:val="20"/>
          <w:szCs w:val="20"/>
          <w:lang w:eastAsia="es-ES_tradnl"/>
        </w:rPr>
        <w:t>recursos limitados</w:t>
      </w:r>
      <w:r w:rsidRPr="00DD01DF">
        <w:rPr>
          <w:rFonts w:ascii="Helvetica" w:hAnsi="Helvetica" w:cs="Times New Roman"/>
          <w:color w:val="385623" w:themeColor="accent6" w:themeShade="80"/>
          <w:sz w:val="20"/>
          <w:szCs w:val="20"/>
          <w:lang w:eastAsia="es-ES_tradnl"/>
        </w:rPr>
        <w:t xml:space="preserve">, </w:t>
      </w:r>
      <w:r w:rsidR="00EC4EFE">
        <w:rPr>
          <w:rFonts w:ascii="Helvetica" w:hAnsi="Helvetica" w:cs="Times New Roman"/>
          <w:color w:val="385623" w:themeColor="accent6" w:themeShade="80"/>
          <w:sz w:val="20"/>
          <w:szCs w:val="20"/>
          <w:lang w:eastAsia="es-ES_tradnl"/>
        </w:rPr>
        <w:t xml:space="preserve">los </w:t>
      </w:r>
      <w:r w:rsidRPr="00DD01DF">
        <w:rPr>
          <w:rFonts w:ascii="Helvetica" w:hAnsi="Helvetica" w:cs="Times New Roman"/>
          <w:color w:val="385623" w:themeColor="accent6" w:themeShade="80"/>
          <w:sz w:val="20"/>
          <w:szCs w:val="20"/>
          <w:lang w:eastAsia="es-ES_tradnl"/>
        </w:rPr>
        <w:t xml:space="preserve">candidatos deben considerar la situación real y plantear soluciones </w:t>
      </w:r>
      <w:r w:rsidRPr="00DD01DF">
        <w:rPr>
          <w:rFonts w:ascii="Helvetica" w:hAnsi="Helvetica" w:cs="Times New Roman"/>
          <w:color w:val="385623" w:themeColor="accent6" w:themeShade="80"/>
          <w:sz w:val="20"/>
          <w:szCs w:val="20"/>
          <w:lang w:eastAsia="es-ES_tradnl"/>
        </w:rPr>
        <w:t>acordes con las verdaderas posibilidades</w:t>
      </w:r>
      <w:r w:rsidR="00B35258">
        <w:rPr>
          <w:rFonts w:ascii="Helvetica" w:hAnsi="Helvetica" w:cs="Times New Roman"/>
          <w:color w:val="385623" w:themeColor="accent6" w:themeShade="80"/>
          <w:sz w:val="20"/>
          <w:szCs w:val="20"/>
          <w:lang w:eastAsia="es-ES_tradnl"/>
        </w:rPr>
        <w:t>.</w:t>
      </w:r>
    </w:p>
    <w:p w14:paraId="058AB68C" w14:textId="77777777" w:rsidR="00990701" w:rsidRDefault="00990701" w:rsidP="00C16800"/>
    <w:p w14:paraId="382572CD" w14:textId="772EBCFA" w:rsidR="000B7AAB" w:rsidRPr="000B7AAB" w:rsidRDefault="006773A2" w:rsidP="000B7AAB">
      <w:pPr>
        <w:spacing w:after="120" w:line="240" w:lineRule="atLeast"/>
        <w:jc w:val="both"/>
        <w:rPr>
          <w:rFonts w:ascii="Helvetica" w:hAnsi="Helvetica" w:cs="Times New Roman"/>
          <w:sz w:val="22"/>
          <w:szCs w:val="22"/>
          <w:lang w:eastAsia="es-ES_tradnl"/>
        </w:rPr>
      </w:pPr>
      <w:r w:rsidRPr="000B7AAB">
        <w:rPr>
          <w:rFonts w:ascii="Helvetica" w:hAnsi="Helvetica" w:cs="Times New Roman"/>
          <w:sz w:val="22"/>
          <w:szCs w:val="22"/>
          <w:lang w:eastAsia="es-ES_tradnl"/>
        </w:rPr>
        <w:t>Los principales recursos que reciben los gobiernos departamentales y municipales provienen de la participación de recaudaciones nacionales. </w:t>
      </w:r>
      <w:r w:rsidR="00C16800">
        <w:rPr>
          <w:rFonts w:ascii="Helvetica" w:hAnsi="Helvetica" w:cs="Times New Roman"/>
          <w:sz w:val="22"/>
          <w:szCs w:val="22"/>
          <w:lang w:eastAsia="es-ES_tradnl"/>
        </w:rPr>
        <w:t>Estos ingresos cayeron en 3</w:t>
      </w:r>
      <w:r w:rsidR="00C5434B">
        <w:rPr>
          <w:rFonts w:ascii="Helvetica" w:hAnsi="Helvetica" w:cs="Times New Roman"/>
          <w:sz w:val="22"/>
          <w:szCs w:val="22"/>
          <w:lang w:eastAsia="es-ES_tradnl"/>
        </w:rPr>
        <w:t>7</w:t>
      </w:r>
      <w:r w:rsidR="00C16800">
        <w:rPr>
          <w:rFonts w:ascii="Helvetica" w:hAnsi="Helvetica" w:cs="Times New Roman"/>
          <w:sz w:val="22"/>
          <w:szCs w:val="22"/>
          <w:lang w:eastAsia="es-ES_tradnl"/>
        </w:rPr>
        <w:t xml:space="preserve">% </w:t>
      </w:r>
      <w:r w:rsidR="006F71B0">
        <w:rPr>
          <w:rFonts w:ascii="Helvetica" w:hAnsi="Helvetica" w:cs="Times New Roman"/>
          <w:sz w:val="22"/>
          <w:szCs w:val="22"/>
          <w:lang w:eastAsia="es-ES_tradnl"/>
        </w:rPr>
        <w:t>para</w:t>
      </w:r>
      <w:r w:rsidR="00C16800">
        <w:rPr>
          <w:rFonts w:ascii="Helvetica" w:hAnsi="Helvetica" w:cs="Times New Roman"/>
          <w:sz w:val="22"/>
          <w:szCs w:val="22"/>
          <w:lang w:eastAsia="es-ES_tradnl"/>
        </w:rPr>
        <w:t xml:space="preserve"> el caso de municipios y en 5</w:t>
      </w:r>
      <w:r w:rsidR="00C5434B">
        <w:rPr>
          <w:rFonts w:ascii="Helvetica" w:hAnsi="Helvetica" w:cs="Times New Roman"/>
          <w:sz w:val="22"/>
          <w:szCs w:val="22"/>
          <w:lang w:eastAsia="es-ES_tradnl"/>
        </w:rPr>
        <w:t>4</w:t>
      </w:r>
      <w:r w:rsidR="00C16800">
        <w:rPr>
          <w:rFonts w:ascii="Helvetica" w:hAnsi="Helvetica" w:cs="Times New Roman"/>
          <w:sz w:val="22"/>
          <w:szCs w:val="22"/>
          <w:lang w:eastAsia="es-ES_tradnl"/>
        </w:rPr>
        <w:t xml:space="preserve">% </w:t>
      </w:r>
      <w:r w:rsidR="006F71B0">
        <w:rPr>
          <w:rFonts w:ascii="Helvetica" w:hAnsi="Helvetica" w:cs="Times New Roman"/>
          <w:sz w:val="22"/>
          <w:szCs w:val="22"/>
          <w:lang w:eastAsia="es-ES_tradnl"/>
        </w:rPr>
        <w:t>para las gobernaciones, entre 201</w:t>
      </w:r>
      <w:r w:rsidR="00E377F6">
        <w:rPr>
          <w:rFonts w:ascii="Helvetica" w:hAnsi="Helvetica" w:cs="Times New Roman"/>
          <w:sz w:val="22"/>
          <w:szCs w:val="22"/>
          <w:lang w:eastAsia="es-ES_tradnl"/>
        </w:rPr>
        <w:t>4</w:t>
      </w:r>
      <w:r w:rsidR="006F71B0">
        <w:rPr>
          <w:rFonts w:ascii="Helvetica" w:hAnsi="Helvetica" w:cs="Times New Roman"/>
          <w:sz w:val="22"/>
          <w:szCs w:val="22"/>
          <w:lang w:eastAsia="es-ES_tradnl"/>
        </w:rPr>
        <w:t xml:space="preserve"> y 20</w:t>
      </w:r>
      <w:r w:rsidR="00C5434B">
        <w:rPr>
          <w:rFonts w:ascii="Helvetica" w:hAnsi="Helvetica" w:cs="Times New Roman"/>
          <w:sz w:val="22"/>
          <w:szCs w:val="22"/>
          <w:lang w:eastAsia="es-ES_tradnl"/>
        </w:rPr>
        <w:t>20</w:t>
      </w:r>
      <w:r w:rsidR="006F71B0">
        <w:rPr>
          <w:rFonts w:ascii="Helvetica" w:hAnsi="Helvetica" w:cs="Times New Roman"/>
          <w:sz w:val="22"/>
          <w:szCs w:val="22"/>
          <w:lang w:eastAsia="es-ES_tradnl"/>
        </w:rPr>
        <w:t>.</w:t>
      </w:r>
    </w:p>
    <w:p w14:paraId="245F9906" w14:textId="556FDF5D" w:rsidR="006773A2" w:rsidRDefault="009D1BBE" w:rsidP="000B7AAB">
      <w:pPr>
        <w:spacing w:after="120" w:line="240" w:lineRule="atLeast"/>
        <w:jc w:val="both"/>
        <w:rPr>
          <w:rFonts w:ascii="Helvetica" w:hAnsi="Helvetica" w:cs="Times New Roman"/>
          <w:sz w:val="22"/>
          <w:szCs w:val="22"/>
          <w:lang w:eastAsia="es-ES_tradnl"/>
        </w:rPr>
      </w:pPr>
      <w:r>
        <w:rPr>
          <w:rFonts w:ascii="Helvetica" w:hAnsi="Helvetica" w:cs="Times New Roman"/>
          <w:noProof/>
          <w:sz w:val="22"/>
          <w:szCs w:val="22"/>
          <w:lang w:eastAsia="es-ES_tradnl"/>
        </w:rPr>
        <w:drawing>
          <wp:anchor distT="0" distB="0" distL="114300" distR="114300" simplePos="0" relativeHeight="251658240" behindDoc="0" locked="0" layoutInCell="1" allowOverlap="1" wp14:anchorId="15DAE674" wp14:editId="652DC5E1">
            <wp:simplePos x="0" y="0"/>
            <wp:positionH relativeFrom="margin">
              <wp:posOffset>2398395</wp:posOffset>
            </wp:positionH>
            <wp:positionV relativeFrom="margin">
              <wp:posOffset>3227705</wp:posOffset>
            </wp:positionV>
            <wp:extent cx="3589020" cy="3792220"/>
            <wp:effectExtent l="0" t="0" r="0" b="0"/>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aptura de pantalla 2021-02-12 a las 13.45.48.png"/>
                    <pic:cNvPicPr/>
                  </pic:nvPicPr>
                  <pic:blipFill>
                    <a:blip r:embed="rId8">
                      <a:extLst>
                        <a:ext uri="{28A0092B-C50C-407E-A947-70E740481C1C}">
                          <a14:useLocalDpi xmlns:a14="http://schemas.microsoft.com/office/drawing/2010/main" val="0"/>
                        </a:ext>
                      </a:extLst>
                    </a:blip>
                    <a:stretch>
                      <a:fillRect/>
                    </a:stretch>
                  </pic:blipFill>
                  <pic:spPr>
                    <a:xfrm>
                      <a:off x="0" y="0"/>
                      <a:ext cx="3589020" cy="3792220"/>
                    </a:xfrm>
                    <a:prstGeom prst="rect">
                      <a:avLst/>
                    </a:prstGeom>
                  </pic:spPr>
                </pic:pic>
              </a:graphicData>
            </a:graphic>
            <wp14:sizeRelH relativeFrom="page">
              <wp14:pctWidth>0</wp14:pctWidth>
            </wp14:sizeRelH>
            <wp14:sizeRelV relativeFrom="page">
              <wp14:pctHeight>0</wp14:pctHeight>
            </wp14:sizeRelV>
          </wp:anchor>
        </w:drawing>
      </w:r>
      <w:r w:rsidR="006F71B0">
        <w:rPr>
          <w:rFonts w:ascii="Helvetica" w:hAnsi="Helvetica" w:cs="Times New Roman"/>
          <w:sz w:val="22"/>
          <w:szCs w:val="22"/>
          <w:lang w:eastAsia="es-ES_tradnl"/>
        </w:rPr>
        <w:t>Los municipios reciben</w:t>
      </w:r>
      <w:r w:rsidR="006773A2" w:rsidRPr="006773A2">
        <w:rPr>
          <w:rFonts w:ascii="Helvetica" w:hAnsi="Helvetica" w:cs="Times New Roman"/>
          <w:sz w:val="22"/>
          <w:szCs w:val="22"/>
          <w:lang w:eastAsia="es-ES_tradnl"/>
        </w:rPr>
        <w:t xml:space="preserve"> </w:t>
      </w:r>
      <w:r w:rsidR="006F71B0">
        <w:rPr>
          <w:rFonts w:ascii="Helvetica" w:hAnsi="Helvetica" w:cs="Times New Roman"/>
          <w:sz w:val="22"/>
          <w:szCs w:val="22"/>
          <w:lang w:eastAsia="es-ES_tradnl"/>
        </w:rPr>
        <w:t xml:space="preserve">las </w:t>
      </w:r>
      <w:r w:rsidR="006773A2" w:rsidRPr="006773A2">
        <w:rPr>
          <w:rFonts w:ascii="Helvetica" w:hAnsi="Helvetica" w:cs="Times New Roman"/>
          <w:sz w:val="22"/>
          <w:szCs w:val="22"/>
          <w:lang w:eastAsia="es-ES_tradnl"/>
        </w:rPr>
        <w:t>transferencias por coparticipación tributaria (participación popular) y el Impuesto Directo a los Hidrocarburos (IDH)</w:t>
      </w:r>
      <w:r w:rsidR="006F71B0">
        <w:rPr>
          <w:rFonts w:ascii="Helvetica" w:hAnsi="Helvetica" w:cs="Times New Roman"/>
          <w:sz w:val="22"/>
          <w:szCs w:val="22"/>
          <w:lang w:eastAsia="es-ES_tradnl"/>
        </w:rPr>
        <w:t xml:space="preserve">. </w:t>
      </w:r>
      <w:r w:rsidR="006773A2" w:rsidRPr="000B7AAB">
        <w:rPr>
          <w:rFonts w:ascii="Helvetica" w:hAnsi="Helvetica" w:cs="Times New Roman"/>
          <w:sz w:val="22"/>
          <w:szCs w:val="22"/>
          <w:lang w:eastAsia="es-ES_tradnl"/>
        </w:rPr>
        <w:t>Para las gobernaciones</w:t>
      </w:r>
      <w:r w:rsidR="006F71B0">
        <w:rPr>
          <w:rFonts w:ascii="Helvetica" w:hAnsi="Helvetica" w:cs="Times New Roman"/>
          <w:sz w:val="22"/>
          <w:szCs w:val="22"/>
          <w:lang w:eastAsia="es-ES_tradnl"/>
        </w:rPr>
        <w:t xml:space="preserve">, su asignación proviene de </w:t>
      </w:r>
      <w:r w:rsidR="006773A2" w:rsidRPr="000B7AAB">
        <w:rPr>
          <w:rFonts w:ascii="Helvetica" w:hAnsi="Helvetica" w:cs="Times New Roman"/>
          <w:sz w:val="22"/>
          <w:szCs w:val="22"/>
          <w:lang w:eastAsia="es-ES_tradnl"/>
        </w:rPr>
        <w:t xml:space="preserve">regalías, </w:t>
      </w:r>
      <w:r w:rsidR="006F71B0">
        <w:rPr>
          <w:rFonts w:ascii="Helvetica" w:hAnsi="Helvetica" w:cs="Times New Roman"/>
          <w:sz w:val="22"/>
          <w:szCs w:val="22"/>
          <w:lang w:eastAsia="es-ES_tradnl"/>
        </w:rPr>
        <w:t>recursos del IDH y</w:t>
      </w:r>
      <w:r w:rsidR="006773A2" w:rsidRPr="000B7AAB">
        <w:rPr>
          <w:rFonts w:ascii="Helvetica" w:hAnsi="Helvetica" w:cs="Times New Roman"/>
          <w:sz w:val="22"/>
          <w:szCs w:val="22"/>
          <w:lang w:eastAsia="es-ES_tradnl"/>
        </w:rPr>
        <w:t xml:space="preserve"> coparticipación a través del Impuesto Especial a los Hidrocarburos y sus Derivados (IEHD).</w:t>
      </w:r>
    </w:p>
    <w:p w14:paraId="027E3866" w14:textId="6B05B7FA" w:rsidR="006773A2" w:rsidRPr="006773A2" w:rsidRDefault="00990701" w:rsidP="006773A2">
      <w:pPr>
        <w:spacing w:after="120" w:line="240" w:lineRule="atLeast"/>
        <w:jc w:val="both"/>
        <w:rPr>
          <w:rFonts w:ascii="Helvetica" w:hAnsi="Helvetica" w:cs="Times New Roman"/>
          <w:sz w:val="22"/>
          <w:szCs w:val="22"/>
          <w:lang w:eastAsia="es-ES_tradnl"/>
        </w:rPr>
      </w:pPr>
      <w:r>
        <w:rPr>
          <w:rFonts w:ascii="Helvetica" w:hAnsi="Helvetica" w:cs="Times New Roman"/>
          <w:sz w:val="22"/>
          <w:szCs w:val="22"/>
          <w:lang w:eastAsia="es-ES_tradnl"/>
        </w:rPr>
        <w:t>De acuerdo con</w:t>
      </w:r>
      <w:r w:rsidR="006F71B0">
        <w:rPr>
          <w:rFonts w:ascii="Helvetica" w:hAnsi="Helvetica" w:cs="Times New Roman"/>
          <w:sz w:val="22"/>
          <w:szCs w:val="22"/>
          <w:lang w:eastAsia="es-ES_tradnl"/>
        </w:rPr>
        <w:t xml:space="preserve"> información procesada por Fundación Jubileo</w:t>
      </w:r>
      <w:r>
        <w:rPr>
          <w:rFonts w:ascii="Helvetica" w:hAnsi="Helvetica" w:cs="Times New Roman"/>
          <w:sz w:val="22"/>
          <w:szCs w:val="22"/>
          <w:lang w:eastAsia="es-ES_tradnl"/>
        </w:rPr>
        <w:t>,</w:t>
      </w:r>
      <w:r w:rsidR="006F71B0">
        <w:rPr>
          <w:rFonts w:ascii="Helvetica" w:hAnsi="Helvetica" w:cs="Times New Roman"/>
          <w:sz w:val="22"/>
          <w:szCs w:val="22"/>
          <w:lang w:eastAsia="es-ES_tradnl"/>
        </w:rPr>
        <w:t xml:space="preserve"> con base en datos oficiales, los ingresos para el país </w:t>
      </w:r>
      <w:r w:rsidR="006773A2" w:rsidRPr="000B7AAB">
        <w:rPr>
          <w:rFonts w:ascii="Helvetica" w:hAnsi="Helvetica" w:cs="Times New Roman"/>
          <w:sz w:val="22"/>
          <w:szCs w:val="22"/>
          <w:lang w:eastAsia="es-ES_tradnl"/>
        </w:rPr>
        <w:t>aumentaron significativamente hasta el año 2014 y, en adelante, comenzaron a disminuir, principalmente por la caída de la renta por hidrocarburos (IDH y regalías), tanto por factor precio como por volúmenes de producción y exportación. </w:t>
      </w:r>
    </w:p>
    <w:p w14:paraId="3F4663E4" w14:textId="09728B1E" w:rsidR="006773A2" w:rsidRDefault="006773A2" w:rsidP="006773A2">
      <w:pPr>
        <w:spacing w:after="120" w:line="240" w:lineRule="atLeast"/>
        <w:jc w:val="both"/>
        <w:rPr>
          <w:rFonts w:ascii="Helvetica" w:hAnsi="Helvetica" w:cs="Times New Roman"/>
          <w:sz w:val="22"/>
          <w:szCs w:val="22"/>
          <w:lang w:eastAsia="es-ES_tradnl"/>
        </w:rPr>
      </w:pPr>
      <w:r w:rsidRPr="000B7AAB">
        <w:rPr>
          <w:rFonts w:ascii="Helvetica" w:hAnsi="Helvetica" w:cs="Times New Roman"/>
          <w:sz w:val="22"/>
          <w:szCs w:val="22"/>
          <w:lang w:eastAsia="es-ES_tradnl"/>
        </w:rPr>
        <w:t>Con relación a las transferencias por coparticipación que dependen de las recaudaciones de impuestos nacionales, éstas se habrían estancado los últimos años como resultado de una economía en desaceleración y, en 2020, disminuyeron como efecto de la crisis</w:t>
      </w:r>
      <w:r w:rsidR="00E377F6">
        <w:rPr>
          <w:rFonts w:ascii="Helvetica" w:hAnsi="Helvetica" w:cs="Times New Roman"/>
          <w:sz w:val="22"/>
          <w:szCs w:val="22"/>
          <w:lang w:eastAsia="es-ES_tradnl"/>
        </w:rPr>
        <w:t xml:space="preserve"> provocada por la pandemia</w:t>
      </w:r>
      <w:r w:rsidRPr="000B7AAB">
        <w:rPr>
          <w:rFonts w:ascii="Helvetica" w:hAnsi="Helvetica" w:cs="Times New Roman"/>
          <w:sz w:val="22"/>
          <w:szCs w:val="22"/>
          <w:lang w:eastAsia="es-ES_tradnl"/>
        </w:rPr>
        <w:t>.</w:t>
      </w:r>
    </w:p>
    <w:p w14:paraId="218B5AA2" w14:textId="6B92391C" w:rsidR="006F71B0" w:rsidRDefault="006F71B0" w:rsidP="006773A2">
      <w:pPr>
        <w:spacing w:after="120" w:line="240" w:lineRule="atLeast"/>
        <w:jc w:val="both"/>
        <w:rPr>
          <w:rFonts w:ascii="Helvetica" w:hAnsi="Helvetica" w:cs="Times New Roman"/>
          <w:sz w:val="22"/>
          <w:szCs w:val="22"/>
          <w:lang w:eastAsia="es-ES_tradnl"/>
        </w:rPr>
      </w:pPr>
      <w:r>
        <w:rPr>
          <w:rFonts w:ascii="Helvetica" w:hAnsi="Helvetica" w:cs="Times New Roman"/>
          <w:sz w:val="22"/>
          <w:szCs w:val="22"/>
          <w:lang w:eastAsia="es-ES_tradnl"/>
        </w:rPr>
        <w:t xml:space="preserve">Durante la última década, los ingresos para el país estuvieron en subida hasta el año 2014. En esa gestión, el conjunto de los municipios </w:t>
      </w:r>
      <w:r w:rsidR="00990701">
        <w:rPr>
          <w:rFonts w:ascii="Helvetica" w:hAnsi="Helvetica" w:cs="Times New Roman"/>
          <w:sz w:val="22"/>
          <w:szCs w:val="22"/>
          <w:lang w:eastAsia="es-ES_tradnl"/>
        </w:rPr>
        <w:t>recibió</w:t>
      </w:r>
      <w:r>
        <w:rPr>
          <w:rFonts w:ascii="Helvetica" w:hAnsi="Helvetica" w:cs="Times New Roman"/>
          <w:sz w:val="22"/>
          <w:szCs w:val="22"/>
          <w:lang w:eastAsia="es-ES_tradnl"/>
        </w:rPr>
        <w:t xml:space="preserve"> 15.428 millones de bolivianos, cifra que hasta el año 20</w:t>
      </w:r>
      <w:r w:rsidR="00C5434B">
        <w:rPr>
          <w:rFonts w:ascii="Helvetica" w:hAnsi="Helvetica" w:cs="Times New Roman"/>
          <w:sz w:val="22"/>
          <w:szCs w:val="22"/>
          <w:lang w:eastAsia="es-ES_tradnl"/>
        </w:rPr>
        <w:t>20</w:t>
      </w:r>
      <w:r>
        <w:rPr>
          <w:rFonts w:ascii="Helvetica" w:hAnsi="Helvetica" w:cs="Times New Roman"/>
          <w:sz w:val="22"/>
          <w:szCs w:val="22"/>
          <w:lang w:eastAsia="es-ES_tradnl"/>
        </w:rPr>
        <w:t xml:space="preserve"> descendi</w:t>
      </w:r>
      <w:r w:rsidR="00990701">
        <w:rPr>
          <w:rFonts w:ascii="Helvetica" w:hAnsi="Helvetica" w:cs="Times New Roman"/>
          <w:sz w:val="22"/>
          <w:szCs w:val="22"/>
          <w:lang w:eastAsia="es-ES_tradnl"/>
        </w:rPr>
        <w:t>ó</w:t>
      </w:r>
      <w:r>
        <w:rPr>
          <w:rFonts w:ascii="Helvetica" w:hAnsi="Helvetica" w:cs="Times New Roman"/>
          <w:sz w:val="22"/>
          <w:szCs w:val="22"/>
          <w:lang w:eastAsia="es-ES_tradnl"/>
        </w:rPr>
        <w:t xml:space="preserve"> hasta </w:t>
      </w:r>
      <w:r w:rsidR="00C5434B">
        <w:rPr>
          <w:rFonts w:ascii="Helvetica" w:hAnsi="Helvetica" w:cs="Times New Roman"/>
          <w:sz w:val="22"/>
          <w:szCs w:val="22"/>
          <w:lang w:eastAsia="es-ES_tradnl"/>
        </w:rPr>
        <w:t>9.730</w:t>
      </w:r>
      <w:r>
        <w:rPr>
          <w:rFonts w:ascii="Helvetica" w:hAnsi="Helvetica" w:cs="Times New Roman"/>
          <w:sz w:val="22"/>
          <w:szCs w:val="22"/>
          <w:lang w:eastAsia="es-ES_tradnl"/>
        </w:rPr>
        <w:t xml:space="preserve"> millones, lo que representa una caída de 3</w:t>
      </w:r>
      <w:r w:rsidR="00C5434B">
        <w:rPr>
          <w:rFonts w:ascii="Helvetica" w:hAnsi="Helvetica" w:cs="Times New Roman"/>
          <w:sz w:val="22"/>
          <w:szCs w:val="22"/>
          <w:lang w:eastAsia="es-ES_tradnl"/>
        </w:rPr>
        <w:t>7</w:t>
      </w:r>
      <w:r>
        <w:rPr>
          <w:rFonts w:ascii="Helvetica" w:hAnsi="Helvetica" w:cs="Times New Roman"/>
          <w:sz w:val="22"/>
          <w:szCs w:val="22"/>
          <w:lang w:eastAsia="es-ES_tradnl"/>
        </w:rPr>
        <w:t>% en ese periodo.</w:t>
      </w:r>
    </w:p>
    <w:p w14:paraId="1886FBE7" w14:textId="1D8882C5" w:rsidR="006F71B0" w:rsidRDefault="006F71B0" w:rsidP="006773A2">
      <w:pPr>
        <w:spacing w:after="120" w:line="240" w:lineRule="atLeast"/>
        <w:jc w:val="both"/>
        <w:rPr>
          <w:rFonts w:ascii="Helvetica" w:hAnsi="Helvetica" w:cs="Times New Roman"/>
          <w:sz w:val="22"/>
          <w:szCs w:val="22"/>
          <w:lang w:eastAsia="es-ES_tradnl"/>
        </w:rPr>
      </w:pPr>
      <w:r>
        <w:rPr>
          <w:rFonts w:ascii="Helvetica" w:hAnsi="Helvetica" w:cs="Times New Roman"/>
          <w:sz w:val="22"/>
          <w:szCs w:val="22"/>
          <w:lang w:eastAsia="es-ES_tradnl"/>
        </w:rPr>
        <w:lastRenderedPageBreak/>
        <w:t>En el caso de los gobiernos departamentales, éstos recibieron</w:t>
      </w:r>
      <w:r w:rsidR="00990701">
        <w:rPr>
          <w:rFonts w:ascii="Helvetica" w:hAnsi="Helvetica" w:cs="Times New Roman"/>
          <w:sz w:val="22"/>
          <w:szCs w:val="22"/>
          <w:lang w:eastAsia="es-ES_tradnl"/>
        </w:rPr>
        <w:t>,</w:t>
      </w:r>
      <w:r>
        <w:rPr>
          <w:rFonts w:ascii="Helvetica" w:hAnsi="Helvetica" w:cs="Times New Roman"/>
          <w:sz w:val="22"/>
          <w:szCs w:val="22"/>
          <w:lang w:eastAsia="es-ES_tradnl"/>
        </w:rPr>
        <w:t xml:space="preserve"> el 2014</w:t>
      </w:r>
      <w:r w:rsidR="00990701">
        <w:rPr>
          <w:rFonts w:ascii="Helvetica" w:hAnsi="Helvetica" w:cs="Times New Roman"/>
          <w:sz w:val="22"/>
          <w:szCs w:val="22"/>
          <w:lang w:eastAsia="es-ES_tradnl"/>
        </w:rPr>
        <w:t>,</w:t>
      </w:r>
      <w:r>
        <w:rPr>
          <w:rFonts w:ascii="Helvetica" w:hAnsi="Helvetica" w:cs="Times New Roman"/>
          <w:sz w:val="22"/>
          <w:szCs w:val="22"/>
          <w:lang w:eastAsia="es-ES_tradnl"/>
        </w:rPr>
        <w:t xml:space="preserve"> un total de </w:t>
      </w:r>
      <w:r w:rsidR="00990701">
        <w:rPr>
          <w:rFonts w:ascii="Helvetica" w:hAnsi="Helvetica" w:cs="Times New Roman"/>
          <w:sz w:val="22"/>
          <w:szCs w:val="22"/>
          <w:lang w:eastAsia="es-ES_tradnl"/>
        </w:rPr>
        <w:t>9.821</w:t>
      </w:r>
      <w:r>
        <w:rPr>
          <w:rFonts w:ascii="Helvetica" w:hAnsi="Helvetica" w:cs="Times New Roman"/>
          <w:sz w:val="22"/>
          <w:szCs w:val="22"/>
          <w:lang w:eastAsia="es-ES_tradnl"/>
        </w:rPr>
        <w:t xml:space="preserve"> millones de bolivianos, registrando una reducción paulatina hasta llegar a 4.</w:t>
      </w:r>
      <w:r w:rsidR="00C5434B">
        <w:rPr>
          <w:rFonts w:ascii="Helvetica" w:hAnsi="Helvetica" w:cs="Times New Roman"/>
          <w:sz w:val="22"/>
          <w:szCs w:val="22"/>
          <w:lang w:eastAsia="es-ES_tradnl"/>
        </w:rPr>
        <w:t>530</w:t>
      </w:r>
      <w:r>
        <w:rPr>
          <w:rFonts w:ascii="Helvetica" w:hAnsi="Helvetica" w:cs="Times New Roman"/>
          <w:sz w:val="22"/>
          <w:szCs w:val="22"/>
          <w:lang w:eastAsia="es-ES_tradnl"/>
        </w:rPr>
        <w:t xml:space="preserve"> millones para 20</w:t>
      </w:r>
      <w:r w:rsidR="00C5434B">
        <w:rPr>
          <w:rFonts w:ascii="Helvetica" w:hAnsi="Helvetica" w:cs="Times New Roman"/>
          <w:sz w:val="22"/>
          <w:szCs w:val="22"/>
          <w:lang w:eastAsia="es-ES_tradnl"/>
        </w:rPr>
        <w:t>20</w:t>
      </w:r>
      <w:r>
        <w:rPr>
          <w:rFonts w:ascii="Helvetica" w:hAnsi="Helvetica" w:cs="Times New Roman"/>
          <w:sz w:val="22"/>
          <w:szCs w:val="22"/>
          <w:lang w:eastAsia="es-ES_tradnl"/>
        </w:rPr>
        <w:t>, lo que significa una pérdida de 5</w:t>
      </w:r>
      <w:r w:rsidR="00C5434B">
        <w:rPr>
          <w:rFonts w:ascii="Helvetica" w:hAnsi="Helvetica" w:cs="Times New Roman"/>
          <w:sz w:val="22"/>
          <w:szCs w:val="22"/>
          <w:lang w:eastAsia="es-ES_tradnl"/>
        </w:rPr>
        <w:t>4</w:t>
      </w:r>
      <w:r>
        <w:rPr>
          <w:rFonts w:ascii="Helvetica" w:hAnsi="Helvetica" w:cs="Times New Roman"/>
          <w:sz w:val="22"/>
          <w:szCs w:val="22"/>
          <w:lang w:eastAsia="es-ES_tradnl"/>
        </w:rPr>
        <w:t>% en ese periodo.</w:t>
      </w:r>
    </w:p>
    <w:p w14:paraId="0A72FC92" w14:textId="581F626F" w:rsidR="006773A2" w:rsidRPr="006773A2" w:rsidRDefault="005B601C" w:rsidP="006773A2">
      <w:pPr>
        <w:spacing w:after="120" w:line="240" w:lineRule="atLeast"/>
        <w:jc w:val="both"/>
        <w:rPr>
          <w:rFonts w:ascii="Helvetica" w:hAnsi="Helvetica" w:cs="Times New Roman"/>
          <w:sz w:val="22"/>
          <w:szCs w:val="22"/>
          <w:lang w:eastAsia="es-ES_tradnl"/>
        </w:rPr>
      </w:pPr>
      <w:r>
        <w:rPr>
          <w:rFonts w:ascii="Helvetica" w:hAnsi="Helvetica" w:cs="Times New Roman"/>
          <w:sz w:val="22"/>
          <w:szCs w:val="22"/>
          <w:lang w:eastAsia="es-ES_tradnl"/>
        </w:rPr>
        <w:t>Con referencia</w:t>
      </w:r>
      <w:r w:rsidR="006773A2" w:rsidRPr="000B7AAB">
        <w:rPr>
          <w:rFonts w:ascii="Helvetica" w:hAnsi="Helvetica" w:cs="Times New Roman"/>
          <w:sz w:val="22"/>
          <w:szCs w:val="22"/>
          <w:lang w:eastAsia="es-ES_tradnl"/>
        </w:rPr>
        <w:t xml:space="preserve"> a sus recaudaciones propias, que sin embargo tienen un menor peso en sus presupuestos, el 2019 ya registraron una tendencia a bajar y, el 2020, habrían disminuido al igual que las recaudaciones nacionales.</w:t>
      </w:r>
    </w:p>
    <w:p w14:paraId="7850363E" w14:textId="77777777" w:rsidR="006773A2" w:rsidRPr="006773A2" w:rsidRDefault="006773A2" w:rsidP="006773A2">
      <w:pPr>
        <w:spacing w:after="120" w:line="240" w:lineRule="atLeast"/>
        <w:jc w:val="both"/>
        <w:rPr>
          <w:rFonts w:ascii="Helvetica" w:hAnsi="Helvetica" w:cs="Times New Roman"/>
          <w:sz w:val="22"/>
          <w:szCs w:val="22"/>
          <w:lang w:eastAsia="es-ES_tradnl"/>
        </w:rPr>
      </w:pPr>
      <w:r w:rsidRPr="000B7AAB">
        <w:rPr>
          <w:rFonts w:ascii="Helvetica" w:hAnsi="Helvetica" w:cs="Times New Roman"/>
          <w:sz w:val="22"/>
          <w:szCs w:val="22"/>
          <w:lang w:eastAsia="es-ES_tradnl"/>
        </w:rPr>
        <w:t>Las gobernaciones y municipios se encuentran en una situación y perspectiva bastante complicadas, con recursos limitados, en un contexto en que la población demanda respuestas con relación a la atención de la emergencia sanitaria, la recuperación de las economías locales y regionales, la provisión de servicios y la inversión pública.</w:t>
      </w:r>
    </w:p>
    <w:p w14:paraId="70C2F3BE" w14:textId="77777777" w:rsidR="005B601C" w:rsidRDefault="006773A2" w:rsidP="006773A2">
      <w:pPr>
        <w:spacing w:after="120" w:line="240" w:lineRule="atLeast"/>
        <w:jc w:val="both"/>
        <w:rPr>
          <w:rFonts w:ascii="Helvetica" w:hAnsi="Helvetica" w:cs="Times New Roman"/>
          <w:sz w:val="22"/>
          <w:szCs w:val="22"/>
          <w:lang w:eastAsia="es-ES_tradnl"/>
        </w:rPr>
      </w:pPr>
      <w:r w:rsidRPr="000B7AAB">
        <w:rPr>
          <w:rFonts w:ascii="Helvetica" w:hAnsi="Helvetica" w:cs="Times New Roman"/>
          <w:sz w:val="22"/>
          <w:szCs w:val="22"/>
          <w:lang w:eastAsia="es-ES_tradnl"/>
        </w:rPr>
        <w:t>Además de verse obligados a limitar el gasto corriente que se incrementó demasiado en años anteriores, este panorama conlleva la necesidad de optimizar el uso de los recursos</w:t>
      </w:r>
      <w:r w:rsidR="005B601C">
        <w:rPr>
          <w:rFonts w:ascii="Helvetica" w:hAnsi="Helvetica" w:cs="Times New Roman"/>
          <w:sz w:val="22"/>
          <w:szCs w:val="22"/>
          <w:lang w:eastAsia="es-ES_tradnl"/>
        </w:rPr>
        <w:t>, a buscar</w:t>
      </w:r>
      <w:r w:rsidRPr="000B7AAB">
        <w:rPr>
          <w:rFonts w:ascii="Helvetica" w:hAnsi="Helvetica" w:cs="Times New Roman"/>
          <w:sz w:val="22"/>
          <w:szCs w:val="22"/>
          <w:lang w:eastAsia="es-ES_tradnl"/>
        </w:rPr>
        <w:t xml:space="preserve"> una mayor eficiencia del gasto y la inversión. </w:t>
      </w:r>
    </w:p>
    <w:p w14:paraId="383DD41F" w14:textId="53DE7B61" w:rsidR="006773A2" w:rsidRPr="006773A2" w:rsidRDefault="00EC4EFE" w:rsidP="006773A2">
      <w:pPr>
        <w:spacing w:after="120" w:line="240" w:lineRule="atLeast"/>
        <w:jc w:val="both"/>
        <w:rPr>
          <w:rFonts w:ascii="Helvetica" w:hAnsi="Helvetica" w:cs="Times New Roman"/>
          <w:sz w:val="22"/>
          <w:szCs w:val="22"/>
          <w:lang w:eastAsia="es-ES_tradnl"/>
        </w:rPr>
      </w:pPr>
      <w:r>
        <w:rPr>
          <w:rFonts w:ascii="Helvetica" w:hAnsi="Helvetica" w:cs="Times New Roman"/>
          <w:sz w:val="22"/>
          <w:szCs w:val="22"/>
          <w:lang w:eastAsia="es-ES_tradnl"/>
        </w:rPr>
        <w:t>L</w:t>
      </w:r>
      <w:r w:rsidR="006773A2" w:rsidRPr="000B7AAB">
        <w:rPr>
          <w:rFonts w:ascii="Helvetica" w:hAnsi="Helvetica" w:cs="Times New Roman"/>
          <w:sz w:val="22"/>
          <w:szCs w:val="22"/>
          <w:lang w:eastAsia="es-ES_tradnl"/>
        </w:rPr>
        <w:t>as nuevas autoridades tendrán que hacer verdaderos esfuerzos por mejorar las capacidades de gestión.</w:t>
      </w:r>
    </w:p>
    <w:p w14:paraId="4DE553C0" w14:textId="259090CC" w:rsidR="00EC4EFE" w:rsidRPr="008429D0" w:rsidRDefault="00E377F6" w:rsidP="008429D0">
      <w:pPr>
        <w:spacing w:after="120" w:line="240" w:lineRule="atLeast"/>
        <w:jc w:val="both"/>
        <w:rPr>
          <w:rFonts w:ascii="Helvetica" w:hAnsi="Helvetica" w:cs="Times New Roman"/>
          <w:sz w:val="22"/>
          <w:szCs w:val="22"/>
          <w:lang w:eastAsia="es-ES_tradnl"/>
        </w:rPr>
      </w:pPr>
      <w:r>
        <w:rPr>
          <w:rFonts w:ascii="Helvetica" w:hAnsi="Helvetica" w:cs="Times New Roman"/>
          <w:sz w:val="22"/>
          <w:szCs w:val="22"/>
          <w:lang w:eastAsia="es-ES_tradnl"/>
        </w:rPr>
        <w:t xml:space="preserve">Corresponde a </w:t>
      </w:r>
      <w:r w:rsidR="00126F51">
        <w:rPr>
          <w:rFonts w:ascii="Helvetica" w:hAnsi="Helvetica" w:cs="Times New Roman"/>
          <w:sz w:val="22"/>
          <w:szCs w:val="22"/>
          <w:lang w:eastAsia="es-ES_tradnl"/>
        </w:rPr>
        <w:t xml:space="preserve">los políticos que pretenden ocupar cargos públicos y piden el voto ciudadano la responsabilidad de informar a la población con sinceridad, claridad y transparencia sobre la situación </w:t>
      </w:r>
      <w:r w:rsidR="00645D0B">
        <w:rPr>
          <w:rFonts w:ascii="Helvetica" w:hAnsi="Helvetica" w:cs="Times New Roman"/>
          <w:sz w:val="22"/>
          <w:szCs w:val="22"/>
          <w:lang w:eastAsia="es-ES_tradnl"/>
        </w:rPr>
        <w:t xml:space="preserve">real </w:t>
      </w:r>
      <w:r w:rsidR="00126F51">
        <w:rPr>
          <w:rFonts w:ascii="Helvetica" w:hAnsi="Helvetica" w:cs="Times New Roman"/>
          <w:sz w:val="22"/>
          <w:szCs w:val="22"/>
          <w:lang w:eastAsia="es-ES_tradnl"/>
        </w:rPr>
        <w:t>del país, las</w:t>
      </w:r>
      <w:r w:rsidR="00645D0B">
        <w:rPr>
          <w:rFonts w:ascii="Helvetica" w:hAnsi="Helvetica" w:cs="Times New Roman"/>
          <w:sz w:val="22"/>
          <w:szCs w:val="22"/>
          <w:lang w:eastAsia="es-ES_tradnl"/>
        </w:rPr>
        <w:t xml:space="preserve"> gobernaciones y los municipios, y plantear propuestas </w:t>
      </w:r>
      <w:r w:rsidR="00645D0B" w:rsidRPr="000B7AAB">
        <w:rPr>
          <w:rFonts w:ascii="Helvetica" w:hAnsi="Helvetica" w:cs="Times New Roman"/>
          <w:sz w:val="22"/>
          <w:szCs w:val="22"/>
          <w:lang w:eastAsia="es-ES_tradnl"/>
        </w:rPr>
        <w:t>acordes con las verdaderas posibilidades, en un escenario con recursos limitados.</w:t>
      </w:r>
    </w:p>
    <w:p w14:paraId="3FAC0B31" w14:textId="77777777" w:rsidR="008429D0" w:rsidRPr="008429D0" w:rsidRDefault="00EC4EFE" w:rsidP="008429D0">
      <w:pPr>
        <w:shd w:val="clear" w:color="auto" w:fill="FFFFFF"/>
        <w:spacing w:before="225" w:after="225"/>
        <w:jc w:val="both"/>
        <w:textAlignment w:val="baseline"/>
        <w:rPr>
          <w:rFonts w:ascii="Arial" w:hAnsi="Arial" w:cs="Arial"/>
          <w:color w:val="333333"/>
          <w:sz w:val="22"/>
          <w:szCs w:val="22"/>
        </w:rPr>
      </w:pPr>
      <w:r w:rsidRPr="008429D0">
        <w:rPr>
          <w:rFonts w:ascii="Arial" w:hAnsi="Arial" w:cs="Arial"/>
          <w:color w:val="333333"/>
          <w:sz w:val="22"/>
          <w:szCs w:val="22"/>
          <w:lang w:eastAsia="es-ES_tradnl"/>
        </w:rPr>
        <w:t xml:space="preserve">En el actual contexto electoral, Fundación Jubileo </w:t>
      </w:r>
      <w:r w:rsidRPr="008429D0">
        <w:rPr>
          <w:rFonts w:ascii="Arial" w:hAnsi="Arial" w:cs="Arial"/>
          <w:color w:val="333333"/>
          <w:sz w:val="22"/>
          <w:szCs w:val="22"/>
        </w:rPr>
        <w:t xml:space="preserve">plantea 10 temas </w:t>
      </w:r>
      <w:r w:rsidRPr="008429D0">
        <w:rPr>
          <w:rFonts w:ascii="Arial" w:hAnsi="Arial" w:cs="Arial"/>
          <w:color w:val="333333"/>
          <w:sz w:val="22"/>
          <w:szCs w:val="22"/>
        </w:rPr>
        <w:t>clave para</w:t>
      </w:r>
      <w:r w:rsidRPr="00EC4EFE">
        <w:rPr>
          <w:rFonts w:ascii="Arial" w:hAnsi="Arial" w:cs="Arial"/>
          <w:color w:val="333333"/>
          <w:sz w:val="22"/>
          <w:szCs w:val="22"/>
          <w:lang w:eastAsia="es-ES_tradnl"/>
        </w:rPr>
        <w:t xml:space="preserve"> cualificar el debate público</w:t>
      </w:r>
      <w:r w:rsidRPr="008429D0">
        <w:rPr>
          <w:rFonts w:ascii="Arial" w:hAnsi="Arial" w:cs="Arial"/>
          <w:color w:val="333333"/>
          <w:sz w:val="22"/>
          <w:szCs w:val="22"/>
          <w:lang w:eastAsia="es-ES_tradnl"/>
        </w:rPr>
        <w:t xml:space="preserve"> y promover </w:t>
      </w:r>
      <w:r w:rsidR="008429D0" w:rsidRPr="008429D0">
        <w:rPr>
          <w:rFonts w:ascii="Arial" w:hAnsi="Arial" w:cs="Arial"/>
          <w:color w:val="333333"/>
          <w:sz w:val="22"/>
          <w:szCs w:val="22"/>
          <w:lang w:eastAsia="es-ES_tradnl"/>
        </w:rPr>
        <w:t xml:space="preserve">el interés de la población en una </w:t>
      </w:r>
      <w:r w:rsidR="00D663C0" w:rsidRPr="008429D0">
        <w:rPr>
          <w:rFonts w:ascii="Arial" w:hAnsi="Arial" w:cs="Arial"/>
          <w:color w:val="333333"/>
          <w:sz w:val="22"/>
          <w:szCs w:val="22"/>
        </w:rPr>
        <w:t xml:space="preserve">agenda </w:t>
      </w:r>
      <w:r w:rsidR="008429D0" w:rsidRPr="008429D0">
        <w:rPr>
          <w:rFonts w:ascii="Arial" w:hAnsi="Arial" w:cs="Arial"/>
          <w:color w:val="333333"/>
          <w:sz w:val="22"/>
          <w:szCs w:val="22"/>
        </w:rPr>
        <w:t xml:space="preserve">que </w:t>
      </w:r>
      <w:r w:rsidR="00D663C0" w:rsidRPr="008429D0">
        <w:rPr>
          <w:rFonts w:ascii="Arial" w:hAnsi="Arial" w:cs="Arial"/>
          <w:color w:val="333333"/>
          <w:sz w:val="22"/>
          <w:szCs w:val="22"/>
        </w:rPr>
        <w:t>aborda la situación fiscal de los gobiernos departamentales y municipales, el desarrollo productivo y la inversión en infraestructura y equipamiento.</w:t>
      </w:r>
    </w:p>
    <w:p w14:paraId="67B4CFFD" w14:textId="463620AE" w:rsidR="00D663C0" w:rsidRPr="008429D0" w:rsidRDefault="00D663C0" w:rsidP="008429D0">
      <w:pPr>
        <w:shd w:val="clear" w:color="auto" w:fill="FFFFFF"/>
        <w:spacing w:before="225" w:after="225"/>
        <w:jc w:val="both"/>
        <w:textAlignment w:val="baseline"/>
        <w:rPr>
          <w:rFonts w:ascii="Arial" w:hAnsi="Arial" w:cs="Arial"/>
          <w:color w:val="333333"/>
          <w:sz w:val="22"/>
          <w:szCs w:val="22"/>
          <w:lang w:eastAsia="es-ES_tradnl"/>
        </w:rPr>
      </w:pPr>
      <w:r w:rsidRPr="008429D0">
        <w:rPr>
          <w:rFonts w:ascii="Arial" w:hAnsi="Arial" w:cs="Arial"/>
          <w:color w:val="333333"/>
          <w:sz w:val="22"/>
          <w:szCs w:val="22"/>
        </w:rPr>
        <w:t xml:space="preserve">También </w:t>
      </w:r>
      <w:r w:rsidR="008429D0" w:rsidRPr="008429D0">
        <w:rPr>
          <w:rFonts w:ascii="Arial" w:hAnsi="Arial" w:cs="Arial"/>
          <w:color w:val="333333"/>
          <w:sz w:val="22"/>
          <w:szCs w:val="22"/>
        </w:rPr>
        <w:t>presenta</w:t>
      </w:r>
      <w:r w:rsidRPr="008429D0">
        <w:rPr>
          <w:rFonts w:ascii="Arial" w:hAnsi="Arial" w:cs="Arial"/>
          <w:color w:val="333333"/>
          <w:sz w:val="22"/>
          <w:szCs w:val="22"/>
        </w:rPr>
        <w:t xml:space="preserve"> los desafíos respecto a salud, educación, servicios básicos, transporte, seguridad ciudadana, medio ambiente y cambio climático; además de transparencia, acceso a información y rendición de cuentas.</w:t>
      </w:r>
    </w:p>
    <w:p w14:paraId="3B728E48" w14:textId="77777777" w:rsidR="00990701" w:rsidRDefault="00990701" w:rsidP="000B7AAB">
      <w:pPr>
        <w:spacing w:after="120" w:line="240" w:lineRule="atLeast"/>
        <w:jc w:val="both"/>
        <w:rPr>
          <w:rFonts w:ascii="Helvetica" w:hAnsi="Helvetica" w:cs="Times New Roman"/>
          <w:sz w:val="22"/>
          <w:szCs w:val="22"/>
          <w:lang w:eastAsia="es-ES_tradnl"/>
        </w:rPr>
      </w:pPr>
    </w:p>
    <w:p w14:paraId="34C941CA" w14:textId="3BE952F4" w:rsidR="00990701" w:rsidRPr="00990701" w:rsidRDefault="00021843" w:rsidP="00021843">
      <w:pPr>
        <w:spacing w:after="120" w:line="240" w:lineRule="atLeast"/>
        <w:rPr>
          <w:rFonts w:ascii="Helvetica" w:hAnsi="Helvetica" w:cs="Times New Roman"/>
          <w:i/>
          <w:sz w:val="16"/>
          <w:szCs w:val="16"/>
          <w:lang w:eastAsia="es-ES_tradnl"/>
        </w:rPr>
      </w:pPr>
      <w:r>
        <w:rPr>
          <w:rFonts w:ascii="Helvetica" w:hAnsi="Helvetica" w:cs="Times New Roman"/>
          <w:i/>
          <w:sz w:val="16"/>
          <w:szCs w:val="16"/>
          <w:lang w:eastAsia="es-ES_tradnl"/>
        </w:rPr>
        <w:br/>
        <w:t xml:space="preserve">Serie: </w:t>
      </w:r>
      <w:r>
        <w:rPr>
          <w:rFonts w:ascii="Helvetica" w:hAnsi="Helvetica" w:cs="Times New Roman"/>
          <w:i/>
          <w:sz w:val="16"/>
          <w:szCs w:val="16"/>
          <w:lang w:eastAsia="es-ES_tradnl"/>
        </w:rPr>
        <w:br/>
        <w:t>10 temas clave para la gestión de gobernaciones y municipios</w:t>
      </w:r>
      <w:r>
        <w:rPr>
          <w:rFonts w:ascii="Helvetica" w:hAnsi="Helvetica" w:cs="Times New Roman"/>
          <w:i/>
          <w:sz w:val="16"/>
          <w:szCs w:val="16"/>
          <w:lang w:eastAsia="es-ES_tradnl"/>
        </w:rPr>
        <w:br/>
      </w:r>
      <w:proofErr w:type="gramStart"/>
      <w:r>
        <w:rPr>
          <w:rFonts w:ascii="Helvetica" w:hAnsi="Helvetica" w:cs="Times New Roman"/>
          <w:i/>
          <w:sz w:val="16"/>
          <w:szCs w:val="16"/>
          <w:lang w:eastAsia="es-ES_tradnl"/>
        </w:rPr>
        <w:t>F</w:t>
      </w:r>
      <w:r w:rsidRPr="00990701">
        <w:rPr>
          <w:rFonts w:ascii="Helvetica" w:hAnsi="Helvetica" w:cs="Times New Roman"/>
          <w:i/>
          <w:sz w:val="16"/>
          <w:szCs w:val="16"/>
          <w:lang w:eastAsia="es-ES_tradnl"/>
        </w:rPr>
        <w:t>ebrero</w:t>
      </w:r>
      <w:proofErr w:type="gramEnd"/>
      <w:r w:rsidRPr="00990701">
        <w:rPr>
          <w:rFonts w:ascii="Helvetica" w:hAnsi="Helvetica" w:cs="Times New Roman"/>
          <w:i/>
          <w:sz w:val="16"/>
          <w:szCs w:val="16"/>
          <w:lang w:eastAsia="es-ES_tradnl"/>
        </w:rPr>
        <w:t xml:space="preserve"> 2021</w:t>
      </w:r>
      <w:bookmarkStart w:id="0" w:name="_GoBack"/>
      <w:bookmarkEnd w:id="0"/>
    </w:p>
    <w:sectPr w:rsidR="00990701" w:rsidRPr="00990701" w:rsidSect="00F05DBF">
      <w:headerReference w:type="default" r:id="rId9"/>
      <w:footerReference w:type="default" r:id="rId10"/>
      <w:pgSz w:w="11900" w:h="16840"/>
      <w:pgMar w:top="913" w:right="1701" w:bottom="1417" w:left="1701" w:header="0" w:footer="0"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03C039E" w14:textId="77777777" w:rsidR="003D2B3D" w:rsidRDefault="003D2B3D" w:rsidP="00F05DBF">
      <w:r>
        <w:separator/>
      </w:r>
    </w:p>
  </w:endnote>
  <w:endnote w:type="continuationSeparator" w:id="0">
    <w:p w14:paraId="4B6476BB" w14:textId="77777777" w:rsidR="003D2B3D" w:rsidRDefault="003D2B3D" w:rsidP="00F05D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auto"/>
    <w:pitch w:val="variable"/>
    <w:sig w:usb0="00000000" w:usb1="10000000" w:usb2="00000000" w:usb3="00000000" w:csb0="80000000" w:csb1="00000000"/>
  </w:font>
  <w:font w:name="Akzidenz-Grotesk BQ">
    <w:charset w:val="00"/>
    <w:family w:val="auto"/>
    <w:pitch w:val="variable"/>
    <w:sig w:usb0="8000002F" w:usb1="0000000A" w:usb2="00000000" w:usb3="00000000" w:csb0="00000111" w:csb1="00000000"/>
  </w:font>
  <w:font w:name="Abel">
    <w:panose1 w:val="02000506030000020004"/>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3781A7" w14:textId="77777777" w:rsidR="00F05DBF" w:rsidRDefault="00F05DBF" w:rsidP="00F05DBF">
    <w:pPr>
      <w:pStyle w:val="Piedepgina"/>
      <w:ind w:left="-1701"/>
    </w:pPr>
    <w:r>
      <w:rPr>
        <w:noProof/>
        <w:lang w:eastAsia="es-ES_tradnl"/>
      </w:rPr>
      <w:drawing>
        <wp:inline distT="0" distB="0" distL="0" distR="0" wp14:anchorId="3B94B60A" wp14:editId="53187154">
          <wp:extent cx="7595057" cy="659130"/>
          <wp:effectExtent l="0" t="0" r="0" b="127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lantilla nota de prensa E 2021.jpg"/>
                  <pic:cNvPicPr/>
                </pic:nvPicPr>
                <pic:blipFill rotWithShape="1">
                  <a:blip r:embed="rId1">
                    <a:extLst>
                      <a:ext uri="{28A0092B-C50C-407E-A947-70E740481C1C}">
                        <a14:useLocalDpi xmlns:a14="http://schemas.microsoft.com/office/drawing/2010/main" val="0"/>
                      </a:ext>
                    </a:extLst>
                  </a:blip>
                  <a:srcRect t="93294"/>
                  <a:stretch/>
                </pic:blipFill>
                <pic:spPr bwMode="auto">
                  <a:xfrm>
                    <a:off x="0" y="0"/>
                    <a:ext cx="7665624" cy="665254"/>
                  </a:xfrm>
                  <a:prstGeom prst="rect">
                    <a:avLst/>
                  </a:prstGeom>
                  <a:ln>
                    <a:noFill/>
                  </a:ln>
                  <a:extLst>
                    <a:ext uri="{53640926-AAD7-44D8-BBD7-CCE9431645EC}">
                      <a14:shadowObscured xmlns:a14="http://schemas.microsoft.com/office/drawing/2010/main"/>
                    </a:ext>
                  </a:extLst>
                </pic:spPr>
              </pic:pic>
            </a:graphicData>
          </a:graphic>
        </wp:inline>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71CB089" w14:textId="77777777" w:rsidR="003D2B3D" w:rsidRDefault="003D2B3D" w:rsidP="00F05DBF">
      <w:r>
        <w:separator/>
      </w:r>
    </w:p>
  </w:footnote>
  <w:footnote w:type="continuationSeparator" w:id="0">
    <w:p w14:paraId="72568EFE" w14:textId="77777777" w:rsidR="003D2B3D" w:rsidRDefault="003D2B3D" w:rsidP="00F05DBF">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F7B737" w14:textId="77777777" w:rsidR="00F05DBF" w:rsidRDefault="00F05DBF" w:rsidP="00F05DBF">
    <w:pPr>
      <w:pStyle w:val="Encabezado"/>
      <w:ind w:left="-1701"/>
    </w:pPr>
    <w:r>
      <w:rPr>
        <w:noProof/>
        <w:lang w:eastAsia="es-ES_tradnl"/>
      </w:rPr>
      <w:drawing>
        <wp:inline distT="0" distB="0" distL="0" distR="0" wp14:anchorId="066D8392" wp14:editId="325D2D04">
          <wp:extent cx="7594600" cy="1790700"/>
          <wp:effectExtent l="0" t="0" r="0" b="1270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lantilla nota de prensa E 2021.jpg"/>
                  <pic:cNvPicPr/>
                </pic:nvPicPr>
                <pic:blipFill rotWithShape="1">
                  <a:blip r:embed="rId1">
                    <a:extLst>
                      <a:ext uri="{28A0092B-C50C-407E-A947-70E740481C1C}">
                        <a14:useLocalDpi xmlns:a14="http://schemas.microsoft.com/office/drawing/2010/main" val="0"/>
                      </a:ext>
                    </a:extLst>
                  </a:blip>
                  <a:srcRect b="82564"/>
                  <a:stretch/>
                </pic:blipFill>
                <pic:spPr bwMode="auto">
                  <a:xfrm>
                    <a:off x="0" y="0"/>
                    <a:ext cx="7595059" cy="1790808"/>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59E90890"/>
    <w:multiLevelType w:val="hybridMultilevel"/>
    <w:tmpl w:val="AC966D6E"/>
    <w:lvl w:ilvl="0" w:tplc="B15ED7F0">
      <w:start w:val="12"/>
      <w:numFmt w:val="bullet"/>
      <w:lvlText w:val="-"/>
      <w:lvlJc w:val="left"/>
      <w:pPr>
        <w:ind w:left="720" w:hanging="360"/>
      </w:pPr>
      <w:rPr>
        <w:rFonts w:ascii="Calibri" w:eastAsiaTheme="minorHAnsi" w:hAnsi="Calibri" w:cstheme="minorBidi"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18"/>
  <w:proofState w:spelling="clean" w:grammar="clean"/>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5DBF"/>
    <w:rsid w:val="00021843"/>
    <w:rsid w:val="000B7AAB"/>
    <w:rsid w:val="00126F51"/>
    <w:rsid w:val="003D2B3D"/>
    <w:rsid w:val="00462D7E"/>
    <w:rsid w:val="00535EED"/>
    <w:rsid w:val="005B601C"/>
    <w:rsid w:val="005F6A1F"/>
    <w:rsid w:val="0064182F"/>
    <w:rsid w:val="00645D0B"/>
    <w:rsid w:val="006773A2"/>
    <w:rsid w:val="006F71B0"/>
    <w:rsid w:val="00745FF5"/>
    <w:rsid w:val="00813E05"/>
    <w:rsid w:val="008429D0"/>
    <w:rsid w:val="00855E2F"/>
    <w:rsid w:val="008965DA"/>
    <w:rsid w:val="008B0169"/>
    <w:rsid w:val="00990701"/>
    <w:rsid w:val="009D1BBE"/>
    <w:rsid w:val="00A565AC"/>
    <w:rsid w:val="00AB75A3"/>
    <w:rsid w:val="00B3271F"/>
    <w:rsid w:val="00B35258"/>
    <w:rsid w:val="00BE231A"/>
    <w:rsid w:val="00C16800"/>
    <w:rsid w:val="00C5434B"/>
    <w:rsid w:val="00CD64C6"/>
    <w:rsid w:val="00D663C0"/>
    <w:rsid w:val="00DD01DF"/>
    <w:rsid w:val="00E3093C"/>
    <w:rsid w:val="00E377F6"/>
    <w:rsid w:val="00E74DD6"/>
    <w:rsid w:val="00EC4EFE"/>
    <w:rsid w:val="00F05DBF"/>
    <w:rsid w:val="00F268A5"/>
    <w:rsid w:val="00F94D9A"/>
  </w:rsids>
  <m:mathPr>
    <m:mathFont m:val="Cambria Math"/>
    <m:brkBin m:val="before"/>
    <m:brkBinSub m:val="--"/>
    <m:smallFrac m:val="0"/>
    <m:dispDef/>
    <m:lMargin m:val="0"/>
    <m:rMargin m:val="0"/>
    <m:defJc m:val="centerGroup"/>
    <m:wrapIndent m:val="1440"/>
    <m:intLim m:val="subSup"/>
    <m:naryLim m:val="undOvr"/>
  </m:mathPr>
  <w:themeFontLang w:val="es-ES_tradnl"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C0793B"/>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05DBF"/>
    <w:pPr>
      <w:tabs>
        <w:tab w:val="center" w:pos="4252"/>
        <w:tab w:val="right" w:pos="8504"/>
      </w:tabs>
    </w:pPr>
  </w:style>
  <w:style w:type="character" w:customStyle="1" w:styleId="EncabezadoCar">
    <w:name w:val="Encabezado Car"/>
    <w:basedOn w:val="Fuentedeprrafopredeter"/>
    <w:link w:val="Encabezado"/>
    <w:uiPriority w:val="99"/>
    <w:rsid w:val="00F05DBF"/>
  </w:style>
  <w:style w:type="paragraph" w:styleId="Piedepgina">
    <w:name w:val="footer"/>
    <w:basedOn w:val="Normal"/>
    <w:link w:val="PiedepginaCar"/>
    <w:uiPriority w:val="99"/>
    <w:unhideWhenUsed/>
    <w:rsid w:val="00F05DBF"/>
    <w:pPr>
      <w:tabs>
        <w:tab w:val="center" w:pos="4252"/>
        <w:tab w:val="right" w:pos="8504"/>
      </w:tabs>
    </w:pPr>
  </w:style>
  <w:style w:type="character" w:customStyle="1" w:styleId="PiedepginaCar">
    <w:name w:val="Pie de página Car"/>
    <w:basedOn w:val="Fuentedeprrafopredeter"/>
    <w:link w:val="Piedepgina"/>
    <w:uiPriority w:val="99"/>
    <w:rsid w:val="00F05DBF"/>
  </w:style>
  <w:style w:type="paragraph" w:customStyle="1" w:styleId="p1">
    <w:name w:val="p1"/>
    <w:basedOn w:val="Normal"/>
    <w:rsid w:val="00F05DBF"/>
    <w:rPr>
      <w:rFonts w:ascii="Akzidenz-Grotesk BQ" w:hAnsi="Akzidenz-Grotesk BQ" w:cs="Times New Roman"/>
      <w:color w:val="000006"/>
      <w:sz w:val="30"/>
      <w:szCs w:val="30"/>
      <w:lang w:eastAsia="es-ES_tradnl"/>
    </w:rPr>
  </w:style>
  <w:style w:type="paragraph" w:customStyle="1" w:styleId="p2">
    <w:name w:val="p2"/>
    <w:basedOn w:val="Normal"/>
    <w:rsid w:val="00F05DBF"/>
    <w:pPr>
      <w:jc w:val="both"/>
    </w:pPr>
    <w:rPr>
      <w:rFonts w:ascii="Abel" w:hAnsi="Abel" w:cs="Times New Roman"/>
      <w:sz w:val="18"/>
      <w:szCs w:val="18"/>
      <w:lang w:eastAsia="es-ES_tradnl"/>
    </w:rPr>
  </w:style>
  <w:style w:type="character" w:customStyle="1" w:styleId="s1">
    <w:name w:val="s1"/>
    <w:basedOn w:val="Fuentedeprrafopredeter"/>
    <w:rsid w:val="00F05DBF"/>
  </w:style>
  <w:style w:type="character" w:customStyle="1" w:styleId="apple-converted-space">
    <w:name w:val="apple-converted-space"/>
    <w:basedOn w:val="Fuentedeprrafopredeter"/>
    <w:rsid w:val="00F05DBF"/>
  </w:style>
  <w:style w:type="paragraph" w:customStyle="1" w:styleId="p3">
    <w:name w:val="p3"/>
    <w:basedOn w:val="Normal"/>
    <w:rsid w:val="006773A2"/>
    <w:pPr>
      <w:spacing w:after="120"/>
      <w:jc w:val="both"/>
    </w:pPr>
    <w:rPr>
      <w:rFonts w:ascii="Calibri" w:hAnsi="Calibri" w:cs="Times New Roman"/>
      <w:sz w:val="17"/>
      <w:szCs w:val="17"/>
      <w:lang w:eastAsia="es-ES_tradnl"/>
    </w:rPr>
  </w:style>
  <w:style w:type="character" w:customStyle="1" w:styleId="apple-tab-span">
    <w:name w:val="apple-tab-span"/>
    <w:basedOn w:val="Fuentedeprrafopredeter"/>
    <w:rsid w:val="006773A2"/>
  </w:style>
  <w:style w:type="paragraph" w:styleId="Prrafodelista">
    <w:name w:val="List Paragraph"/>
    <w:basedOn w:val="Normal"/>
    <w:uiPriority w:val="34"/>
    <w:qFormat/>
    <w:rsid w:val="00DD01DF"/>
    <w:pPr>
      <w:ind w:left="720"/>
      <w:contextualSpacing/>
    </w:pPr>
  </w:style>
  <w:style w:type="paragraph" w:styleId="NormalWeb">
    <w:name w:val="Normal (Web)"/>
    <w:basedOn w:val="Normal"/>
    <w:uiPriority w:val="99"/>
    <w:unhideWhenUsed/>
    <w:rsid w:val="00D663C0"/>
    <w:pPr>
      <w:spacing w:before="100" w:beforeAutospacing="1" w:after="100" w:afterAutospacing="1"/>
    </w:pPr>
    <w:rPr>
      <w:rFonts w:ascii="Times New Roman" w:hAnsi="Times New Roman" w:cs="Times New Roman"/>
      <w:lang w:eastAsia="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3204419">
      <w:bodyDiv w:val="1"/>
      <w:marLeft w:val="0"/>
      <w:marRight w:val="0"/>
      <w:marTop w:val="0"/>
      <w:marBottom w:val="0"/>
      <w:divBdr>
        <w:top w:val="none" w:sz="0" w:space="0" w:color="auto"/>
        <w:left w:val="none" w:sz="0" w:space="0" w:color="auto"/>
        <w:bottom w:val="none" w:sz="0" w:space="0" w:color="auto"/>
        <w:right w:val="none" w:sz="0" w:space="0" w:color="auto"/>
      </w:divBdr>
    </w:div>
    <w:div w:id="693000300">
      <w:bodyDiv w:val="1"/>
      <w:marLeft w:val="0"/>
      <w:marRight w:val="0"/>
      <w:marTop w:val="0"/>
      <w:marBottom w:val="0"/>
      <w:divBdr>
        <w:top w:val="none" w:sz="0" w:space="0" w:color="auto"/>
        <w:left w:val="none" w:sz="0" w:space="0" w:color="auto"/>
        <w:bottom w:val="none" w:sz="0" w:space="0" w:color="auto"/>
        <w:right w:val="none" w:sz="0" w:space="0" w:color="auto"/>
      </w:divBdr>
    </w:div>
    <w:div w:id="931861145">
      <w:bodyDiv w:val="1"/>
      <w:marLeft w:val="0"/>
      <w:marRight w:val="0"/>
      <w:marTop w:val="0"/>
      <w:marBottom w:val="0"/>
      <w:divBdr>
        <w:top w:val="none" w:sz="0" w:space="0" w:color="auto"/>
        <w:left w:val="none" w:sz="0" w:space="0" w:color="auto"/>
        <w:bottom w:val="none" w:sz="0" w:space="0" w:color="auto"/>
        <w:right w:val="none" w:sz="0" w:space="0" w:color="auto"/>
      </w:divBdr>
    </w:div>
    <w:div w:id="1280798160">
      <w:bodyDiv w:val="1"/>
      <w:marLeft w:val="0"/>
      <w:marRight w:val="0"/>
      <w:marTop w:val="0"/>
      <w:marBottom w:val="0"/>
      <w:divBdr>
        <w:top w:val="none" w:sz="0" w:space="0" w:color="auto"/>
        <w:left w:val="none" w:sz="0" w:space="0" w:color="auto"/>
        <w:bottom w:val="none" w:sz="0" w:space="0" w:color="auto"/>
        <w:right w:val="none" w:sz="0" w:space="0" w:color="auto"/>
      </w:divBdr>
    </w:div>
    <w:div w:id="1410811553">
      <w:bodyDiv w:val="1"/>
      <w:marLeft w:val="0"/>
      <w:marRight w:val="0"/>
      <w:marTop w:val="0"/>
      <w:marBottom w:val="0"/>
      <w:divBdr>
        <w:top w:val="none" w:sz="0" w:space="0" w:color="auto"/>
        <w:left w:val="none" w:sz="0" w:space="0" w:color="auto"/>
        <w:bottom w:val="none" w:sz="0" w:space="0" w:color="auto"/>
        <w:right w:val="none" w:sz="0" w:space="0" w:color="auto"/>
      </w:divBdr>
    </w:div>
    <w:div w:id="1889612324">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image" Target="media/image2.png"/><Relationship Id="rId9" Type="http://schemas.openxmlformats.org/officeDocument/2006/relationships/header" Target="header1.xml"/><Relationship Id="rId10"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58</TotalTime>
  <Pages>2</Pages>
  <Words>625</Words>
  <Characters>3438</Characters>
  <Application>Microsoft Macintosh Word</Application>
  <DocSecurity>0</DocSecurity>
  <Lines>28</Lines>
  <Paragraphs>8</Paragraphs>
  <ScaleCrop>false</ScaleCrop>
  <HeadingPairs>
    <vt:vector size="2" baseType="variant">
      <vt:variant>
        <vt:lpstr>Título</vt:lpstr>
      </vt:variant>
      <vt:variant>
        <vt:i4>1</vt:i4>
      </vt:variant>
    </vt:vector>
  </HeadingPairs>
  <TitlesOfParts>
    <vt:vector size="1" baseType="lpstr">
      <vt:lpstr/>
    </vt:vector>
  </TitlesOfParts>
  <LinksUpToDate>false</LinksUpToDate>
  <CharactersWithSpaces>4055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de Microsoft Office</dc:creator>
  <cp:keywords/>
  <dc:description/>
  <cp:lastModifiedBy>Usuario de Microsoft Office</cp:lastModifiedBy>
  <cp:revision>8</cp:revision>
  <dcterms:created xsi:type="dcterms:W3CDTF">2021-02-12T15:54:00Z</dcterms:created>
  <dcterms:modified xsi:type="dcterms:W3CDTF">2021-02-12T18:20:00Z</dcterms:modified>
</cp:coreProperties>
</file>